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056" w:type="dxa"/>
        <w:jc w:val="center"/>
        <w:tblLook w:val="04A0" w:firstRow="1" w:lastRow="0" w:firstColumn="1" w:lastColumn="0" w:noHBand="0" w:noVBand="1"/>
      </w:tblPr>
      <w:tblGrid>
        <w:gridCol w:w="2403"/>
        <w:gridCol w:w="2128"/>
        <w:gridCol w:w="2611"/>
        <w:gridCol w:w="3910"/>
        <w:gridCol w:w="4004"/>
      </w:tblGrid>
      <w:tr w:rsidR="00E5141F" w:rsidTr="00EF56E1">
        <w:trPr>
          <w:jc w:val="center"/>
        </w:trPr>
        <w:tc>
          <w:tcPr>
            <w:tcW w:w="15056" w:type="dxa"/>
            <w:gridSpan w:val="5"/>
          </w:tcPr>
          <w:p w:rsidR="00616C8C" w:rsidRDefault="00A06507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187C4B97" wp14:editId="736CA47D">
                  <wp:simplePos x="0" y="0"/>
                  <wp:positionH relativeFrom="column">
                    <wp:posOffset>7442835</wp:posOffset>
                  </wp:positionH>
                  <wp:positionV relativeFrom="paragraph">
                    <wp:posOffset>40005</wp:posOffset>
                  </wp:positionV>
                  <wp:extent cx="102870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1200" y="20855"/>
                      <wp:lineTo x="21200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29D3"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E5141F" w:rsidRPr="009929D3" w:rsidRDefault="00A06507" w:rsidP="00E5141F">
            <w:pPr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</w:t>
            </w:r>
            <w:r w:rsidR="00E5141F" w:rsidRPr="00E5141F">
              <w:rPr>
                <w:rFonts w:ascii="Trebuchet MS" w:hAnsi="Trebuchet MS"/>
                <w:b/>
                <w:sz w:val="28"/>
                <w:szCs w:val="28"/>
              </w:rPr>
              <w:t>Versterking Basisondersteuning</w:t>
            </w:r>
            <w:r w:rsidR="009929D3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9929D3" w:rsidRPr="009929D3">
              <w:rPr>
                <w:rFonts w:ascii="Trebuchet MS" w:hAnsi="Trebuchet MS"/>
                <w:b/>
                <w:sz w:val="28"/>
                <w:szCs w:val="28"/>
              </w:rPr>
              <w:t>2016-2017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             </w:t>
            </w:r>
            <w:r w:rsidR="009929D3">
              <w:rPr>
                <w:rFonts w:ascii="Trebuchet MS" w:hAnsi="Trebuchet MS"/>
                <w:b/>
                <w:sz w:val="28"/>
                <w:szCs w:val="28"/>
              </w:rPr>
              <w:t xml:space="preserve">  </w:t>
            </w:r>
          </w:p>
          <w:p w:rsidR="009929D3" w:rsidRPr="00E5141F" w:rsidRDefault="009929D3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F56E1" w:rsidRPr="00EF5A7C" w:rsidTr="00EF5A7C">
        <w:trPr>
          <w:jc w:val="center"/>
        </w:trPr>
        <w:tc>
          <w:tcPr>
            <w:tcW w:w="2403" w:type="dxa"/>
          </w:tcPr>
          <w:p w:rsidR="00E5141F" w:rsidRPr="00EF5A7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5A7C">
              <w:rPr>
                <w:rFonts w:ascii="Trebuchet MS" w:hAnsi="Trebuchet MS"/>
                <w:b/>
                <w:sz w:val="20"/>
                <w:szCs w:val="20"/>
              </w:rPr>
              <w:t>Onderwerp</w:t>
            </w:r>
          </w:p>
        </w:tc>
        <w:tc>
          <w:tcPr>
            <w:tcW w:w="2128" w:type="dxa"/>
          </w:tcPr>
          <w:p w:rsidR="00E5141F" w:rsidRPr="00EF5A7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5A7C">
              <w:rPr>
                <w:rFonts w:ascii="Trebuchet MS" w:hAnsi="Trebuchet MS"/>
                <w:b/>
                <w:sz w:val="20"/>
                <w:szCs w:val="20"/>
              </w:rPr>
              <w:t>Doel</w:t>
            </w:r>
          </w:p>
        </w:tc>
        <w:tc>
          <w:tcPr>
            <w:tcW w:w="2611" w:type="dxa"/>
          </w:tcPr>
          <w:p w:rsidR="00E5141F" w:rsidRPr="00EF5A7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5A7C">
              <w:rPr>
                <w:rFonts w:ascii="Trebuchet MS" w:hAnsi="Trebuchet MS"/>
                <w:b/>
                <w:sz w:val="20"/>
                <w:szCs w:val="20"/>
              </w:rPr>
              <w:t>Activiteiten</w:t>
            </w:r>
          </w:p>
        </w:tc>
        <w:tc>
          <w:tcPr>
            <w:tcW w:w="3910" w:type="dxa"/>
          </w:tcPr>
          <w:p w:rsidR="00E5141F" w:rsidRPr="00EF5A7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5A7C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4004" w:type="dxa"/>
            <w:shd w:val="clear" w:color="auto" w:fill="auto"/>
          </w:tcPr>
          <w:p w:rsidR="00E5141F" w:rsidRPr="00EF5A7C" w:rsidRDefault="0014399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5A7C"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EF56E1" w:rsidRPr="00EF5A7C" w:rsidTr="00EF5A7C">
        <w:trPr>
          <w:jc w:val="center"/>
        </w:trPr>
        <w:tc>
          <w:tcPr>
            <w:tcW w:w="2403" w:type="dxa"/>
          </w:tcPr>
          <w:p w:rsidR="00E5141F" w:rsidRPr="00EF5A7C" w:rsidRDefault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Scholing</w:t>
            </w:r>
          </w:p>
        </w:tc>
        <w:tc>
          <w:tcPr>
            <w:tcW w:w="2128" w:type="dxa"/>
          </w:tcPr>
          <w:p w:rsidR="00E5141F" w:rsidRPr="00EF5A7C" w:rsidRDefault="00545DAC" w:rsidP="003B1A39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Ontwikkelen</w:t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 xml:space="preserve"> in kennis en </w:t>
            </w:r>
            <w:r w:rsidR="003B1A39" w:rsidRPr="00EF5A7C">
              <w:rPr>
                <w:rFonts w:ascii="Trebuchet MS" w:hAnsi="Trebuchet MS"/>
                <w:sz w:val="20"/>
                <w:szCs w:val="20"/>
              </w:rPr>
              <w:t>competenties</w:t>
            </w:r>
          </w:p>
        </w:tc>
        <w:tc>
          <w:tcPr>
            <w:tcW w:w="2611" w:type="dxa"/>
          </w:tcPr>
          <w:p w:rsidR="003B1A39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Rehoboth</w:t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 xml:space="preserve">-academie </w:t>
            </w:r>
            <w:r w:rsidRPr="00EF5A7C">
              <w:rPr>
                <w:rFonts w:ascii="Trebuchet MS" w:hAnsi="Trebuchet MS"/>
                <w:sz w:val="20"/>
                <w:szCs w:val="20"/>
              </w:rPr>
              <w:t xml:space="preserve">(o.a. i.s.m. AVES academie) </w:t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>en teamscholing</w:t>
            </w:r>
            <w:r w:rsidR="003B1A39" w:rsidRPr="00EF5A7C">
              <w:rPr>
                <w:rFonts w:ascii="Trebuchet MS" w:hAnsi="Trebuchet MS"/>
                <w:sz w:val="20"/>
                <w:szCs w:val="20"/>
              </w:rPr>
              <w:t>, waaronder:</w:t>
            </w:r>
            <w:r w:rsidR="002B2E34" w:rsidRPr="00EF5A7C">
              <w:rPr>
                <w:rFonts w:ascii="Trebuchet MS" w:hAnsi="Trebuchet MS"/>
                <w:sz w:val="20"/>
                <w:szCs w:val="20"/>
              </w:rPr>
              <w:br/>
              <w:t>- Flitsbezoeken</w:t>
            </w:r>
            <w:r w:rsidR="002B2E34" w:rsidRPr="00EF5A7C"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 w:rsidRPr="00EF5A7C">
              <w:rPr>
                <w:rFonts w:ascii="Trebuchet MS" w:hAnsi="Trebuchet MS"/>
                <w:sz w:val="20"/>
                <w:szCs w:val="20"/>
              </w:rPr>
              <w:t>Leerlijnen</w:t>
            </w:r>
          </w:p>
          <w:p w:rsidR="00545DAC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Mastermodule SEN HU op locatie</w:t>
            </w:r>
          </w:p>
          <w:p w:rsidR="00545DAC" w:rsidRPr="00EF5A7C" w:rsidRDefault="00545DAC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Met sprongen vooruit</w:t>
            </w:r>
          </w:p>
          <w:p w:rsidR="00545DAC" w:rsidRPr="00EF5A7C" w:rsidRDefault="00545DAC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Didactisch vakmanschap</w:t>
            </w:r>
          </w:p>
          <w:p w:rsidR="00194B17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Aanvankelijk lezen: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Verveat</w:t>
            </w:r>
            <w:proofErr w:type="spellEnd"/>
          </w:p>
          <w:p w:rsidR="00194B17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Management 2 modules (Pim Pollen)</w:t>
            </w:r>
          </w:p>
          <w:p w:rsidR="00194B17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Action Learning (Twan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Peas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194B17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Opleiden in de school (WPC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traning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194B17" w:rsidRPr="00EF5A7C" w:rsidRDefault="00194B17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Beeldcoaching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280FC3" w:rsidRPr="00EF5A7C" w:rsidRDefault="00280FC3" w:rsidP="002B2E34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Opbrengsten analyse</w:t>
            </w:r>
          </w:p>
        </w:tc>
        <w:tc>
          <w:tcPr>
            <w:tcW w:w="3910" w:type="dxa"/>
          </w:tcPr>
          <w:p w:rsidR="00E5141F" w:rsidRPr="00EF5A7C" w:rsidRDefault="00DC182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Alle scholen e</w:t>
            </w:r>
            <w:r w:rsidR="00A06507" w:rsidRPr="00EF5A7C">
              <w:rPr>
                <w:rFonts w:ascii="Trebuchet MS" w:hAnsi="Trebuchet MS"/>
                <w:sz w:val="20"/>
                <w:szCs w:val="20"/>
              </w:rPr>
              <w:t xml:space="preserve">n medewerkers </w:t>
            </w:r>
            <w:r w:rsidRPr="00EF5A7C">
              <w:rPr>
                <w:rFonts w:ascii="Trebuchet MS" w:hAnsi="Trebuchet MS"/>
                <w:sz w:val="20"/>
                <w:szCs w:val="20"/>
              </w:rPr>
              <w:t>Rehoboth</w:t>
            </w:r>
          </w:p>
          <w:p w:rsidR="00280FC3" w:rsidRPr="00EF5A7C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="00194B17" w:rsidRPr="00EF5A7C">
              <w:rPr>
                <w:rFonts w:ascii="Trebuchet MS" w:hAnsi="Trebuchet MS"/>
                <w:sz w:val="20"/>
                <w:szCs w:val="20"/>
              </w:rPr>
              <w:t>Beeldcoaching</w:t>
            </w:r>
            <w:proofErr w:type="spellEnd"/>
            <w:r w:rsidR="00194B17" w:rsidRPr="00EF5A7C">
              <w:rPr>
                <w:rFonts w:ascii="Trebuchet MS" w:hAnsi="Trebuchet MS"/>
                <w:sz w:val="20"/>
                <w:szCs w:val="20"/>
              </w:rPr>
              <w:t xml:space="preserve"> (7 scholen)</w:t>
            </w:r>
            <w:r w:rsidRPr="00EF5A7C">
              <w:rPr>
                <w:rFonts w:ascii="Trebuchet MS" w:hAnsi="Trebuchet MS"/>
                <w:sz w:val="20"/>
                <w:szCs w:val="20"/>
              </w:rPr>
              <w:br/>
              <w:t>- Flitsbezoeken</w:t>
            </w:r>
            <w:r w:rsidR="00194B17" w:rsidRPr="00EF5A7C">
              <w:rPr>
                <w:rFonts w:ascii="Trebuchet MS" w:hAnsi="Trebuchet MS"/>
                <w:sz w:val="20"/>
                <w:szCs w:val="20"/>
              </w:rPr>
              <w:t xml:space="preserve"> ( </w:t>
            </w:r>
            <w:r w:rsidR="00EF56E1" w:rsidRPr="00EF5A7C">
              <w:rPr>
                <w:rFonts w:ascii="Trebuchet MS" w:hAnsi="Trebuchet MS"/>
                <w:sz w:val="20"/>
                <w:szCs w:val="20"/>
              </w:rPr>
              <w:t>7 scholen)</w:t>
            </w:r>
            <w:r w:rsidRPr="00EF5A7C"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 w:rsidR="00194B17" w:rsidRPr="00EF5A7C">
              <w:rPr>
                <w:rFonts w:ascii="Trebuchet MS" w:hAnsi="Trebuchet MS"/>
                <w:sz w:val="20"/>
                <w:szCs w:val="20"/>
              </w:rPr>
              <w:t xml:space="preserve">Mastermodule 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 xml:space="preserve"> (8 </w:t>
            </w:r>
            <w:proofErr w:type="spellStart"/>
            <w:r w:rsidR="00280FC3" w:rsidRPr="00EF5A7C">
              <w:rPr>
                <w:rFonts w:ascii="Trebuchet MS" w:hAnsi="Trebuchet MS"/>
                <w:sz w:val="20"/>
                <w:szCs w:val="20"/>
              </w:rPr>
              <w:t>leekrachten</w:t>
            </w:r>
            <w:proofErr w:type="spellEnd"/>
            <w:r w:rsidR="00280FC3" w:rsidRPr="00EF5A7C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616C8C" w:rsidRPr="00EF5A7C" w:rsidRDefault="00560908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Met Sprongen V</w:t>
            </w:r>
            <w:r w:rsidR="00616C8C" w:rsidRPr="00EF5A7C">
              <w:rPr>
                <w:rFonts w:ascii="Trebuchet MS" w:hAnsi="Trebuchet MS"/>
                <w:sz w:val="20"/>
                <w:szCs w:val="20"/>
              </w:rPr>
              <w:t>ooruit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 xml:space="preserve"> (10 leerkrachten</w:t>
            </w:r>
            <w:r w:rsidR="00EF56E1" w:rsidRPr="00EF5A7C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616C8C" w:rsidRPr="00EF5A7C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Didactisch handelen (50 leerkrachten</w:t>
            </w:r>
            <w:r w:rsidR="00EF56E1" w:rsidRPr="00EF5A7C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280FC3" w:rsidRPr="00EF5A7C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Aanvankelijk lezen (20 leerkrachten)</w:t>
            </w:r>
          </w:p>
          <w:p w:rsidR="00280FC3" w:rsidRPr="00EF5A7C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Management (5 directeuren)</w:t>
            </w:r>
          </w:p>
          <w:p w:rsidR="00280FC3" w:rsidRPr="00EF5A7C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Action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learning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 xml:space="preserve"> (1 directeur)</w:t>
            </w:r>
          </w:p>
          <w:p w:rsidR="00280FC3" w:rsidRPr="00EF5A7C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Schooleiders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 xml:space="preserve"> opleiding (1 directeur)</w:t>
            </w:r>
          </w:p>
          <w:p w:rsidR="00280FC3" w:rsidRPr="00EF5A7C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Opbrengsten analyse (drie scholen)</w:t>
            </w:r>
          </w:p>
        </w:tc>
        <w:tc>
          <w:tcPr>
            <w:tcW w:w="4004" w:type="dxa"/>
            <w:shd w:val="clear" w:color="auto" w:fill="auto"/>
          </w:tcPr>
          <w:p w:rsidR="00A06507" w:rsidRPr="00EF5A7C" w:rsidRDefault="00560908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Alle scholing is verlopen zoals gepland. </w:t>
            </w:r>
            <w:r w:rsidR="001B2C5F" w:rsidRPr="00EF5A7C">
              <w:rPr>
                <w:rFonts w:ascii="Trebuchet MS" w:hAnsi="Trebuchet MS"/>
                <w:sz w:val="20"/>
                <w:szCs w:val="20"/>
              </w:rPr>
              <w:br/>
            </w:r>
            <w:r w:rsidR="00A06507" w:rsidRPr="00EF5A7C">
              <w:rPr>
                <w:rFonts w:ascii="Trebuchet MS" w:hAnsi="Trebuchet MS"/>
                <w:sz w:val="20"/>
                <w:szCs w:val="20"/>
              </w:rPr>
              <w:t>Met name het aanbieden van een Master op locatie blijkt ingewikkeld en kostbaar te zijn. Daarover dient nog een besluit te worden genomen.</w:t>
            </w:r>
          </w:p>
          <w:p w:rsidR="000B4785" w:rsidRPr="00EF5A7C" w:rsidRDefault="00A06507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Uit de afname van de competentiethermometer zijn meerdere punten naar voren gekomen die een plek zullen moeten gaan krijgen in het scholingsaanbod.</w:t>
            </w:r>
          </w:p>
          <w:p w:rsidR="000B4785" w:rsidRPr="00EF5A7C" w:rsidRDefault="000B478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56E1" w:rsidRPr="00EF5A7C" w:rsidTr="00EF5A7C">
        <w:trPr>
          <w:jc w:val="center"/>
        </w:trPr>
        <w:tc>
          <w:tcPr>
            <w:tcW w:w="2403" w:type="dxa"/>
          </w:tcPr>
          <w:p w:rsidR="00E5141F" w:rsidRPr="00EF5A7C" w:rsidRDefault="00DC182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Expertisecentrum</w:t>
            </w:r>
          </w:p>
        </w:tc>
        <w:tc>
          <w:tcPr>
            <w:tcW w:w="2128" w:type="dxa"/>
          </w:tcPr>
          <w:p w:rsidR="00E5141F" w:rsidRPr="00EF5A7C" w:rsidRDefault="00DC182C" w:rsidP="001E0988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Scholen, leerkrachten en </w:t>
            </w:r>
            <w:r w:rsidR="001E0988" w:rsidRPr="00EF5A7C">
              <w:rPr>
                <w:rFonts w:ascii="Trebuchet MS" w:hAnsi="Trebuchet MS"/>
                <w:sz w:val="20"/>
                <w:szCs w:val="20"/>
              </w:rPr>
              <w:t>leerlingen</w:t>
            </w:r>
            <w:r w:rsidRPr="00EF5A7C">
              <w:rPr>
                <w:rFonts w:ascii="Trebuchet MS" w:hAnsi="Trebuchet MS"/>
                <w:sz w:val="20"/>
                <w:szCs w:val="20"/>
              </w:rPr>
              <w:t xml:space="preserve"> ondersteunen</w:t>
            </w:r>
          </w:p>
        </w:tc>
        <w:tc>
          <w:tcPr>
            <w:tcW w:w="2611" w:type="dxa"/>
          </w:tcPr>
          <w:p w:rsidR="00E5141F" w:rsidRPr="00EF5A7C" w:rsidRDefault="00DC182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Op afroep beschikbaar voor elke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Avesschool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DC182C" w:rsidRPr="00EF5A7C" w:rsidRDefault="00DC182C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Groei door scholing VIB </w:t>
            </w:r>
          </w:p>
        </w:tc>
        <w:tc>
          <w:tcPr>
            <w:tcW w:w="3910" w:type="dxa"/>
          </w:tcPr>
          <w:p w:rsidR="00E5141F" w:rsidRPr="00EF5A7C" w:rsidRDefault="00DC182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Het expertisecentrum kent de volgende specialistische ondersteuningsmogelijkheden:</w:t>
            </w:r>
            <w:r w:rsidRPr="00EF5A7C">
              <w:rPr>
                <w:rFonts w:ascii="Trebuchet MS" w:hAnsi="Trebuchet MS"/>
                <w:sz w:val="20"/>
                <w:szCs w:val="20"/>
              </w:rPr>
              <w:br/>
            </w:r>
            <w:r w:rsidR="00545DAC" w:rsidRPr="00EF5A7C">
              <w:rPr>
                <w:rFonts w:ascii="Trebuchet MS" w:hAnsi="Trebuchet MS"/>
                <w:sz w:val="20"/>
                <w:szCs w:val="20"/>
              </w:rPr>
              <w:t>- O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>rthopedagogen (2x</w:t>
            </w:r>
            <w:r w:rsidRPr="00EF5A7C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DC182C" w:rsidRPr="00EF5A7C" w:rsidRDefault="00545DA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>Gedragsspecialist SO</w:t>
            </w:r>
          </w:p>
          <w:p w:rsidR="00DC182C" w:rsidRPr="00EF5A7C" w:rsidRDefault="00545DA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>Beeldcoaches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 xml:space="preserve"> (7)</w:t>
            </w:r>
          </w:p>
          <w:p w:rsidR="00280FC3" w:rsidRPr="00EF5A7C" w:rsidRDefault="00280FC3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- Coaches (2)</w:t>
            </w:r>
          </w:p>
          <w:p w:rsidR="00545DAC" w:rsidRPr="00EF5A7C" w:rsidRDefault="00545DAC" w:rsidP="00545DA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 xml:space="preserve">Logopediste 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>(2)</w:t>
            </w:r>
            <w:r w:rsidRPr="00EF5A7C">
              <w:rPr>
                <w:rFonts w:ascii="Trebuchet MS" w:hAnsi="Trebuchet MS"/>
                <w:sz w:val="20"/>
                <w:szCs w:val="20"/>
              </w:rPr>
              <w:br/>
            </w:r>
            <w:r w:rsidR="00DC182C" w:rsidRPr="00EF5A7C">
              <w:rPr>
                <w:rFonts w:ascii="Trebuchet MS" w:hAnsi="Trebuchet MS"/>
                <w:sz w:val="20"/>
                <w:szCs w:val="20"/>
              </w:rPr>
              <w:t xml:space="preserve">– Specialiste kindermotoriek 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>(1)</w:t>
            </w:r>
            <w:r w:rsidRPr="00EF5A7C">
              <w:rPr>
                <w:rFonts w:ascii="Trebuchet MS" w:hAnsi="Trebuchet MS"/>
                <w:sz w:val="20"/>
                <w:szCs w:val="20"/>
              </w:rPr>
              <w:br/>
              <w:t xml:space="preserve">–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 xml:space="preserve"> NT2</w:t>
            </w:r>
          </w:p>
          <w:p w:rsidR="00DC182C" w:rsidRPr="00EF5A7C" w:rsidRDefault="00DC182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–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 xml:space="preserve"> ZML</w:t>
            </w:r>
          </w:p>
          <w:p w:rsidR="00DC182C" w:rsidRPr="00EF5A7C" w:rsidRDefault="00545DA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="00120C56" w:rsidRPr="00EF5A7C"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 w:rsidR="00120C56" w:rsidRPr="00EF5A7C">
              <w:rPr>
                <w:rFonts w:ascii="Trebuchet MS" w:hAnsi="Trebuchet MS"/>
                <w:sz w:val="20"/>
                <w:szCs w:val="20"/>
              </w:rPr>
              <w:t xml:space="preserve"> motorische beperkingen</w:t>
            </w:r>
          </w:p>
          <w:p w:rsidR="00280FC3" w:rsidRPr="00EF5A7C" w:rsidRDefault="00545DA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>Onder</w:t>
            </w:r>
            <w:r w:rsidRPr="00EF5A7C">
              <w:rPr>
                <w:rFonts w:ascii="Trebuchet MS" w:hAnsi="Trebuchet MS"/>
                <w:sz w:val="20"/>
                <w:szCs w:val="20"/>
              </w:rPr>
              <w:t xml:space="preserve">wijs aan zieke </w:t>
            </w:r>
            <w:proofErr w:type="spellStart"/>
            <w:r w:rsidRPr="00EF5A7C"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 w:rsidRPr="00EF5A7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20C56" w:rsidRPr="00EF5A7C" w:rsidRDefault="00280FC3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lastRenderedPageBreak/>
              <w:t>- Vanuit de kenniskringen: taal en rekenspecialisten</w:t>
            </w:r>
            <w:r w:rsidR="00545DAC" w:rsidRPr="00EF5A7C">
              <w:rPr>
                <w:rFonts w:ascii="Trebuchet MS" w:hAnsi="Trebuchet MS"/>
                <w:sz w:val="20"/>
                <w:szCs w:val="20"/>
              </w:rPr>
              <w:br/>
            </w:r>
          </w:p>
          <w:p w:rsidR="00DC182C" w:rsidRPr="00EF5A7C" w:rsidRDefault="00120C56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Daarnaast is, in overleg met de coördinator, andere ondersteuning in te roepen.</w:t>
            </w:r>
          </w:p>
        </w:tc>
        <w:tc>
          <w:tcPr>
            <w:tcW w:w="4004" w:type="dxa"/>
            <w:shd w:val="clear" w:color="auto" w:fill="auto"/>
          </w:tcPr>
          <w:p w:rsidR="001B2C5F" w:rsidRPr="00EF5A7C" w:rsidRDefault="001B2C5F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lastRenderedPageBreak/>
              <w:t>Met name de ondersteuning d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>oor de orthopedagogen wordt veel gebruik van gemaakt. Binn</w:t>
            </w:r>
            <w:r w:rsidR="00731289" w:rsidRPr="00EF5A7C">
              <w:rPr>
                <w:rFonts w:ascii="Trebuchet MS" w:hAnsi="Trebuchet MS"/>
                <w:sz w:val="20"/>
                <w:szCs w:val="20"/>
              </w:rPr>
              <w:t>en de vereniging is de “Smalle Commissie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31289" w:rsidRPr="00EF5A7C">
              <w:rPr>
                <w:rFonts w:ascii="Trebuchet MS" w:hAnsi="Trebuchet MS"/>
                <w:sz w:val="20"/>
                <w:szCs w:val="20"/>
              </w:rPr>
              <w:t>“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>actief waarin naast</w:t>
            </w:r>
            <w:r w:rsidR="00731289" w:rsidRPr="00EF5A7C">
              <w:rPr>
                <w:rFonts w:ascii="Trebuchet MS" w:hAnsi="Trebuchet MS"/>
                <w:sz w:val="20"/>
                <w:szCs w:val="20"/>
              </w:rPr>
              <w:t xml:space="preserve"> een directeur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31289" w:rsidRPr="00EF5A7C">
              <w:rPr>
                <w:rFonts w:ascii="Trebuchet MS" w:hAnsi="Trebuchet MS"/>
                <w:sz w:val="20"/>
                <w:szCs w:val="20"/>
              </w:rPr>
              <w:t xml:space="preserve">en </w:t>
            </w:r>
            <w:r w:rsidR="00280FC3" w:rsidRPr="00EF5A7C">
              <w:rPr>
                <w:rFonts w:ascii="Trebuchet MS" w:hAnsi="Trebuchet MS"/>
                <w:sz w:val="20"/>
                <w:szCs w:val="20"/>
              </w:rPr>
              <w:t>IB-er ook een orthop</w:t>
            </w:r>
            <w:r w:rsidR="00731289" w:rsidRPr="00EF5A7C">
              <w:rPr>
                <w:rFonts w:ascii="Trebuchet MS" w:hAnsi="Trebuchet MS"/>
                <w:sz w:val="20"/>
                <w:szCs w:val="20"/>
              </w:rPr>
              <w:t xml:space="preserve">edagoog actief is. Samen met ouders en de (profiel) scholen wordt gezocht naar een passende plek voor leerlingen met extra ondersteuningsbehoefte. M.b.t. de ondersteuningsprofielen werkt de vereniging nauw samen met </w:t>
            </w:r>
            <w:proofErr w:type="spellStart"/>
            <w:r w:rsidR="00731289" w:rsidRPr="00EF5A7C">
              <w:rPr>
                <w:rFonts w:ascii="Trebuchet MS" w:hAnsi="Trebuchet MS"/>
                <w:sz w:val="20"/>
                <w:szCs w:val="20"/>
              </w:rPr>
              <w:t>Kentalis</w:t>
            </w:r>
            <w:proofErr w:type="spellEnd"/>
            <w:r w:rsidR="00731289" w:rsidRPr="00EF5A7C">
              <w:rPr>
                <w:rFonts w:ascii="Trebuchet MS" w:hAnsi="Trebuchet MS"/>
                <w:sz w:val="20"/>
                <w:szCs w:val="20"/>
              </w:rPr>
              <w:t xml:space="preserve">; </w:t>
            </w:r>
            <w:proofErr w:type="spellStart"/>
            <w:r w:rsidR="00731289" w:rsidRPr="00EF5A7C">
              <w:rPr>
                <w:rFonts w:ascii="Trebuchet MS" w:hAnsi="Trebuchet MS"/>
                <w:sz w:val="20"/>
                <w:szCs w:val="20"/>
              </w:rPr>
              <w:t>Bartimeus</w:t>
            </w:r>
            <w:proofErr w:type="spellEnd"/>
            <w:r w:rsidR="00731289" w:rsidRPr="00EF5A7C">
              <w:rPr>
                <w:rFonts w:ascii="Trebuchet MS" w:hAnsi="Trebuchet MS"/>
                <w:sz w:val="20"/>
                <w:szCs w:val="20"/>
              </w:rPr>
              <w:t xml:space="preserve"> en De Zonnebloemschool.</w:t>
            </w:r>
          </w:p>
          <w:p w:rsidR="001B2C5F" w:rsidRPr="00EF5A7C" w:rsidRDefault="001B2C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56E1" w:rsidRPr="00EF5A7C" w:rsidTr="00EF5A7C">
        <w:trPr>
          <w:jc w:val="center"/>
        </w:trPr>
        <w:tc>
          <w:tcPr>
            <w:tcW w:w="2403" w:type="dxa"/>
          </w:tcPr>
          <w:p w:rsidR="00E5141F" w:rsidRPr="00EF5A7C" w:rsidRDefault="00120C56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lastRenderedPageBreak/>
              <w:t>L2S (spraaksoftware)</w:t>
            </w:r>
          </w:p>
        </w:tc>
        <w:tc>
          <w:tcPr>
            <w:tcW w:w="2128" w:type="dxa"/>
          </w:tcPr>
          <w:p w:rsidR="00E5141F" w:rsidRPr="00EF5A7C" w:rsidRDefault="00120C56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Ondersteuning bij leren lezen en spellen</w:t>
            </w:r>
          </w:p>
        </w:tc>
        <w:tc>
          <w:tcPr>
            <w:tcW w:w="2611" w:type="dxa"/>
          </w:tcPr>
          <w:p w:rsidR="00E5141F" w:rsidRPr="00EF5A7C" w:rsidRDefault="00120C56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Invoering - monitoring</w:t>
            </w:r>
          </w:p>
        </w:tc>
        <w:tc>
          <w:tcPr>
            <w:tcW w:w="3910" w:type="dxa"/>
          </w:tcPr>
          <w:p w:rsidR="00E5141F" w:rsidRPr="00EF5A7C" w:rsidRDefault="00120C56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Alle Aves- scholen</w:t>
            </w:r>
            <w:r w:rsidR="00EF56E1" w:rsidRPr="00EF5A7C">
              <w:rPr>
                <w:rFonts w:ascii="Trebuchet MS" w:hAnsi="Trebuchet MS"/>
                <w:sz w:val="20"/>
                <w:szCs w:val="20"/>
              </w:rPr>
              <w:br/>
              <w:t>(14 medewerkers volgen scholing)</w:t>
            </w:r>
          </w:p>
        </w:tc>
        <w:tc>
          <w:tcPr>
            <w:tcW w:w="4004" w:type="dxa"/>
            <w:shd w:val="clear" w:color="auto" w:fill="auto"/>
          </w:tcPr>
          <w:p w:rsidR="00E5141F" w:rsidRPr="00EF5A7C" w:rsidRDefault="001B2C5F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Deze spraaksoftware heeft een update gehad w</w:t>
            </w:r>
            <w:bookmarkStart w:id="0" w:name="_GoBack"/>
            <w:bookmarkEnd w:id="0"/>
            <w:r w:rsidRPr="00EF5A7C">
              <w:rPr>
                <w:rFonts w:ascii="Trebuchet MS" w:hAnsi="Trebuchet MS"/>
                <w:sz w:val="20"/>
                <w:szCs w:val="20"/>
              </w:rPr>
              <w:t xml:space="preserve">aardoor de software veel problemen geeft in het gebruik. </w:t>
            </w:r>
            <w:r w:rsidR="00EC61B4" w:rsidRPr="00EF5A7C">
              <w:rPr>
                <w:rFonts w:ascii="Trebuchet MS" w:hAnsi="Trebuchet MS"/>
                <w:sz w:val="20"/>
                <w:szCs w:val="20"/>
              </w:rPr>
              <w:t>Wordt nog wel door veel scholen gebruikt.</w:t>
            </w:r>
          </w:p>
        </w:tc>
      </w:tr>
      <w:tr w:rsidR="00EF56E1" w:rsidTr="00EF5A7C">
        <w:trPr>
          <w:jc w:val="center"/>
        </w:trPr>
        <w:tc>
          <w:tcPr>
            <w:tcW w:w="2403" w:type="dxa"/>
          </w:tcPr>
          <w:p w:rsidR="00120C56" w:rsidRPr="00EF5A7C" w:rsidRDefault="00545DA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(Hoog)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>begaafdheid</w:t>
            </w:r>
          </w:p>
        </w:tc>
        <w:tc>
          <w:tcPr>
            <w:tcW w:w="2128" w:type="dxa"/>
          </w:tcPr>
          <w:p w:rsidR="00120C56" w:rsidRPr="00EF5A7C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Een coördinator op elke school en k</w:t>
            </w:r>
            <w:r w:rsidR="00545DAC" w:rsidRPr="00EF5A7C">
              <w:rPr>
                <w:rFonts w:ascii="Trebuchet MS" w:hAnsi="Trebuchet MS"/>
                <w:sz w:val="20"/>
                <w:szCs w:val="20"/>
              </w:rPr>
              <w:t>ennisvergroting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 xml:space="preserve"> in de scholen</w:t>
            </w:r>
            <w:r w:rsidRPr="00EF5A7C">
              <w:rPr>
                <w:rFonts w:ascii="Trebuchet MS" w:hAnsi="Trebuchet MS"/>
                <w:sz w:val="20"/>
                <w:szCs w:val="20"/>
              </w:rPr>
              <w:t xml:space="preserve"> d.m.v.</w:t>
            </w:r>
            <w:r w:rsidR="00545DAC" w:rsidRPr="00EF5A7C">
              <w:rPr>
                <w:rFonts w:ascii="Trebuchet MS" w:hAnsi="Trebuchet MS"/>
                <w:sz w:val="20"/>
                <w:szCs w:val="20"/>
              </w:rPr>
              <w:t xml:space="preserve"> scholing </w:t>
            </w:r>
            <w:r w:rsidRPr="00EF5A7C">
              <w:rPr>
                <w:rFonts w:ascii="Trebuchet MS" w:hAnsi="Trebuchet MS"/>
                <w:sz w:val="20"/>
                <w:szCs w:val="20"/>
              </w:rPr>
              <w:t>van</w:t>
            </w:r>
            <w:r w:rsidR="00545DAC" w:rsidRPr="00EF5A7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F5A7C">
              <w:rPr>
                <w:rFonts w:ascii="Trebuchet MS" w:hAnsi="Trebuchet MS"/>
                <w:sz w:val="20"/>
                <w:szCs w:val="20"/>
              </w:rPr>
              <w:t xml:space="preserve">alle </w:t>
            </w:r>
            <w:r w:rsidR="00545DAC" w:rsidRPr="00EF5A7C">
              <w:rPr>
                <w:rFonts w:ascii="Trebuchet MS" w:hAnsi="Trebuchet MS"/>
                <w:sz w:val="20"/>
                <w:szCs w:val="20"/>
              </w:rPr>
              <w:t>leerkrachten</w:t>
            </w:r>
            <w:r w:rsidRPr="00EF5A7C">
              <w:rPr>
                <w:rFonts w:ascii="Trebuchet MS" w:hAnsi="Trebuchet MS"/>
                <w:sz w:val="20"/>
                <w:szCs w:val="20"/>
              </w:rPr>
              <w:t xml:space="preserve"> in de komende vier jaar.</w:t>
            </w:r>
          </w:p>
        </w:tc>
        <w:tc>
          <w:tcPr>
            <w:tcW w:w="2611" w:type="dxa"/>
          </w:tcPr>
          <w:p w:rsidR="00120C56" w:rsidRPr="00EF5A7C" w:rsidRDefault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>Netwerk HB coördinatoren</w:t>
            </w:r>
          </w:p>
          <w:p w:rsidR="00120C56" w:rsidRPr="00EF5A7C" w:rsidRDefault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>Teksten e.d. beschikbaar</w:t>
            </w:r>
          </w:p>
          <w:p w:rsidR="00120C56" w:rsidRPr="00EF5A7C" w:rsidRDefault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>Scholing leerkrachten</w:t>
            </w:r>
          </w:p>
        </w:tc>
        <w:tc>
          <w:tcPr>
            <w:tcW w:w="3910" w:type="dxa"/>
          </w:tcPr>
          <w:p w:rsidR="00120C56" w:rsidRPr="00EF5A7C" w:rsidRDefault="00280FC3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Alle Rehoboth s</w:t>
            </w:r>
            <w:r w:rsidR="00120C56" w:rsidRPr="00EF5A7C">
              <w:rPr>
                <w:rFonts w:ascii="Trebuchet MS" w:hAnsi="Trebuchet MS"/>
                <w:sz w:val="20"/>
                <w:szCs w:val="20"/>
              </w:rPr>
              <w:t>cholen en -leerkrachten</w:t>
            </w:r>
          </w:p>
        </w:tc>
        <w:tc>
          <w:tcPr>
            <w:tcW w:w="4004" w:type="dxa"/>
            <w:shd w:val="clear" w:color="auto" w:fill="auto"/>
          </w:tcPr>
          <w:p w:rsidR="00EC61B4" w:rsidRDefault="00280FC3" w:rsidP="00616C8C">
            <w:pPr>
              <w:rPr>
                <w:rFonts w:ascii="Trebuchet MS" w:hAnsi="Trebuchet MS"/>
                <w:sz w:val="20"/>
                <w:szCs w:val="20"/>
              </w:rPr>
            </w:pPr>
            <w:r w:rsidRPr="00EF5A7C">
              <w:rPr>
                <w:rFonts w:ascii="Trebuchet MS" w:hAnsi="Trebuchet MS"/>
                <w:sz w:val="20"/>
                <w:szCs w:val="20"/>
              </w:rPr>
              <w:t>Het netwerk is dit jaar vier</w:t>
            </w:r>
            <w:r w:rsidR="00EC61B4" w:rsidRPr="00EF5A7C">
              <w:rPr>
                <w:rFonts w:ascii="Trebuchet MS" w:hAnsi="Trebuchet MS"/>
                <w:sz w:val="20"/>
                <w:szCs w:val="20"/>
              </w:rPr>
              <w:t xml:space="preserve"> keer samen geweest.</w:t>
            </w:r>
          </w:p>
        </w:tc>
      </w:tr>
    </w:tbl>
    <w:p w:rsidR="00257CAB" w:rsidRDefault="00257CAB"/>
    <w:p w:rsidR="009929D3" w:rsidRDefault="009929D3"/>
    <w:p w:rsidR="009929D3" w:rsidRDefault="009929D3"/>
    <w:p w:rsidR="001A5E96" w:rsidRDefault="001A5E96"/>
    <w:sectPr w:rsidR="001A5E96" w:rsidSect="009F3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6A76"/>
    <w:multiLevelType w:val="hybridMultilevel"/>
    <w:tmpl w:val="FDA8A002"/>
    <w:lvl w:ilvl="0" w:tplc="224650B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91F"/>
    <w:multiLevelType w:val="hybridMultilevel"/>
    <w:tmpl w:val="EB70C5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17912"/>
    <w:multiLevelType w:val="hybridMultilevel"/>
    <w:tmpl w:val="ABFC8992"/>
    <w:lvl w:ilvl="0" w:tplc="420878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4F18"/>
    <w:multiLevelType w:val="hybridMultilevel"/>
    <w:tmpl w:val="FD5C449A"/>
    <w:lvl w:ilvl="0" w:tplc="3D7AC8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D"/>
    <w:rsid w:val="000B4785"/>
    <w:rsid w:val="00120C56"/>
    <w:rsid w:val="00143994"/>
    <w:rsid w:val="00194B17"/>
    <w:rsid w:val="001A5E96"/>
    <w:rsid w:val="001B2C5F"/>
    <w:rsid w:val="001E0988"/>
    <w:rsid w:val="00257CAB"/>
    <w:rsid w:val="00280FC3"/>
    <w:rsid w:val="002B2E34"/>
    <w:rsid w:val="003B1A39"/>
    <w:rsid w:val="004B4A46"/>
    <w:rsid w:val="00545DAC"/>
    <w:rsid w:val="00560908"/>
    <w:rsid w:val="00616C8C"/>
    <w:rsid w:val="00731289"/>
    <w:rsid w:val="009929D3"/>
    <w:rsid w:val="009F301D"/>
    <w:rsid w:val="00A06507"/>
    <w:rsid w:val="00A82E34"/>
    <w:rsid w:val="00D71EB8"/>
    <w:rsid w:val="00DC182C"/>
    <w:rsid w:val="00E144A4"/>
    <w:rsid w:val="00E5141F"/>
    <w:rsid w:val="00EC61B4"/>
    <w:rsid w:val="00EF56E1"/>
    <w:rsid w:val="00E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E3EC-0F3E-460C-97FA-2B6FD67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182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2</cp:revision>
  <dcterms:created xsi:type="dcterms:W3CDTF">2017-10-05T07:01:00Z</dcterms:created>
  <dcterms:modified xsi:type="dcterms:W3CDTF">2017-10-05T07:01:00Z</dcterms:modified>
</cp:coreProperties>
</file>